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4CF" w:rsidRPr="00D616B8" w:rsidRDefault="00DF74CF" w:rsidP="00762869">
      <w:pPr>
        <w:pStyle w:val="Default"/>
        <w:jc w:val="center"/>
        <w:rPr>
          <w:color w:val="auto"/>
          <w:sz w:val="32"/>
          <w:szCs w:val="32"/>
          <w:u w:val="single"/>
        </w:rPr>
      </w:pPr>
      <w:r w:rsidRPr="00D616B8">
        <w:rPr>
          <w:rFonts w:ascii="Calibri" w:hAnsi="Calibri" w:cs="Calibri"/>
          <w:b/>
          <w:bCs/>
          <w:color w:val="auto"/>
          <w:sz w:val="32"/>
          <w:szCs w:val="32"/>
          <w:u w:val="single"/>
        </w:rPr>
        <w:t>Sports Premium Funding Overview</w:t>
      </w:r>
      <w:r w:rsidR="00574503">
        <w:rPr>
          <w:rFonts w:ascii="Calibri" w:hAnsi="Calibri" w:cs="Calibri"/>
          <w:b/>
          <w:bCs/>
          <w:color w:val="auto"/>
          <w:sz w:val="32"/>
          <w:szCs w:val="32"/>
          <w:u w:val="single"/>
        </w:rPr>
        <w:t xml:space="preserve"> 2022/23</w:t>
      </w:r>
    </w:p>
    <w:p w:rsidR="00DF74CF" w:rsidRDefault="00DF74CF" w:rsidP="00DF74CF">
      <w:pPr>
        <w:pStyle w:val="Default"/>
        <w:rPr>
          <w:rFonts w:ascii="Calibri" w:hAnsi="Calibri" w:cs="Calibri"/>
          <w:b/>
          <w:bCs/>
          <w:color w:val="auto"/>
          <w:sz w:val="22"/>
          <w:szCs w:val="22"/>
        </w:rPr>
      </w:pPr>
    </w:p>
    <w:p w:rsidR="00DF74CF" w:rsidRDefault="00DF74CF" w:rsidP="00DF74CF">
      <w:pPr>
        <w:pStyle w:val="Default"/>
        <w:rPr>
          <w:rFonts w:ascii="Calibri" w:hAnsi="Calibri" w:cs="Calibri"/>
          <w:color w:val="auto"/>
          <w:sz w:val="22"/>
          <w:szCs w:val="22"/>
        </w:rPr>
      </w:pPr>
      <w:r>
        <w:rPr>
          <w:rFonts w:ascii="Calibri" w:hAnsi="Calibri" w:cs="Calibri"/>
          <w:b/>
          <w:bCs/>
          <w:color w:val="auto"/>
          <w:sz w:val="22"/>
          <w:szCs w:val="22"/>
        </w:rPr>
        <w:t xml:space="preserve">Background </w:t>
      </w:r>
    </w:p>
    <w:p w:rsidR="00DF74CF" w:rsidRDefault="00C528AB" w:rsidP="00DF74CF">
      <w:pPr>
        <w:pStyle w:val="Default"/>
        <w:jc w:val="both"/>
        <w:rPr>
          <w:rFonts w:ascii="Calibri" w:hAnsi="Calibri" w:cs="Calibri"/>
          <w:color w:val="auto"/>
          <w:sz w:val="22"/>
          <w:szCs w:val="22"/>
        </w:rPr>
      </w:pPr>
      <w:r>
        <w:rPr>
          <w:rFonts w:ascii="Calibri" w:hAnsi="Calibri" w:cs="Calibri"/>
          <w:color w:val="auto"/>
          <w:sz w:val="22"/>
          <w:szCs w:val="22"/>
        </w:rPr>
        <w:t xml:space="preserve">The Government has continued to provide </w:t>
      </w:r>
      <w:r w:rsidR="00DF74CF">
        <w:rPr>
          <w:rFonts w:ascii="Calibri" w:hAnsi="Calibri" w:cs="Calibri"/>
          <w:color w:val="auto"/>
          <w:sz w:val="22"/>
          <w:szCs w:val="22"/>
        </w:rPr>
        <w:t>substantial primary school sport funding. This funding is being jointly provided by the Departments for Education, Health and Culture, Media and Sport, and will see money going directly to primary school</w:t>
      </w:r>
      <w:r w:rsidR="00D616B8">
        <w:rPr>
          <w:rFonts w:ascii="Calibri" w:hAnsi="Calibri" w:cs="Calibri"/>
          <w:color w:val="auto"/>
          <w:sz w:val="22"/>
          <w:szCs w:val="22"/>
        </w:rPr>
        <w:t>s</w:t>
      </w:r>
      <w:r w:rsidR="00DF74CF">
        <w:rPr>
          <w:rFonts w:ascii="Calibri" w:hAnsi="Calibri" w:cs="Calibri"/>
          <w:color w:val="auto"/>
          <w:sz w:val="22"/>
          <w:szCs w:val="22"/>
        </w:rPr>
        <w:t xml:space="preserve"> to spend on improving the quality of sport and PE for all their children</w:t>
      </w:r>
      <w:r>
        <w:rPr>
          <w:rFonts w:ascii="Calibri" w:hAnsi="Calibri" w:cs="Calibri"/>
          <w:color w:val="auto"/>
          <w:sz w:val="22"/>
          <w:szCs w:val="22"/>
        </w:rPr>
        <w:t xml:space="preserve"> and to encourage a healthy, active lifestyle.</w:t>
      </w:r>
    </w:p>
    <w:p w:rsidR="00DF74CF" w:rsidRDefault="00DF74CF" w:rsidP="00DF74CF">
      <w:pPr>
        <w:pStyle w:val="Default"/>
        <w:jc w:val="both"/>
        <w:rPr>
          <w:rFonts w:ascii="Calibri" w:hAnsi="Calibri" w:cs="Calibri"/>
          <w:color w:val="auto"/>
          <w:sz w:val="22"/>
          <w:szCs w:val="22"/>
        </w:rPr>
      </w:pPr>
      <w:r>
        <w:rPr>
          <w:rFonts w:ascii="Calibri" w:hAnsi="Calibri" w:cs="Calibri"/>
          <w:color w:val="auto"/>
          <w:sz w:val="22"/>
          <w:szCs w:val="22"/>
        </w:rPr>
        <w:t xml:space="preserve">The purpose of the funding is that schools will have to spend the sport funding in improving their provision of PE and sport, but they will have the freedom to choose how they do this. </w:t>
      </w:r>
    </w:p>
    <w:p w:rsidR="00DF74CF" w:rsidRDefault="00DF74CF" w:rsidP="00DF74CF">
      <w:pPr>
        <w:pStyle w:val="Default"/>
        <w:jc w:val="both"/>
        <w:rPr>
          <w:rFonts w:ascii="Calibri" w:hAnsi="Calibri" w:cs="Calibri"/>
          <w:b/>
          <w:bCs/>
          <w:color w:val="auto"/>
          <w:sz w:val="22"/>
          <w:szCs w:val="22"/>
        </w:rPr>
      </w:pPr>
    </w:p>
    <w:p w:rsidR="00DF74CF" w:rsidRDefault="00DF74CF" w:rsidP="00DF74CF">
      <w:pPr>
        <w:pStyle w:val="Default"/>
        <w:rPr>
          <w:rFonts w:ascii="Calibri" w:hAnsi="Calibri" w:cs="Calibri"/>
          <w:color w:val="auto"/>
          <w:sz w:val="22"/>
          <w:szCs w:val="22"/>
        </w:rPr>
      </w:pPr>
      <w:r>
        <w:rPr>
          <w:rFonts w:ascii="Calibri" w:hAnsi="Calibri" w:cs="Calibri"/>
          <w:b/>
          <w:bCs/>
          <w:color w:val="auto"/>
          <w:sz w:val="22"/>
          <w:szCs w:val="22"/>
        </w:rPr>
        <w:t xml:space="preserve">Allocation </w:t>
      </w:r>
    </w:p>
    <w:p w:rsidR="00DF74CF" w:rsidRDefault="00DF74CF" w:rsidP="00DF74CF">
      <w:pPr>
        <w:pStyle w:val="Default"/>
        <w:rPr>
          <w:rFonts w:ascii="Calibri" w:hAnsi="Calibri" w:cs="Calibri"/>
          <w:color w:val="auto"/>
          <w:sz w:val="22"/>
          <w:szCs w:val="22"/>
        </w:rPr>
      </w:pPr>
      <w:r>
        <w:rPr>
          <w:rFonts w:ascii="Calibri" w:hAnsi="Calibri" w:cs="Calibri"/>
          <w:color w:val="auto"/>
          <w:sz w:val="22"/>
          <w:szCs w:val="22"/>
        </w:rPr>
        <w:t>Funding for schools will be calculated by the number of primary aged pupils (bet</w:t>
      </w:r>
      <w:r w:rsidR="00A73C57">
        <w:rPr>
          <w:rFonts w:ascii="Calibri" w:hAnsi="Calibri" w:cs="Calibri"/>
          <w:color w:val="auto"/>
          <w:sz w:val="22"/>
          <w:szCs w:val="22"/>
        </w:rPr>
        <w:t>ween the ages of 5 and 11).</w:t>
      </w:r>
    </w:p>
    <w:p w:rsidR="00DF74CF" w:rsidRDefault="00DF74CF" w:rsidP="00DF74CF">
      <w:pPr>
        <w:pStyle w:val="Default"/>
        <w:rPr>
          <w:rFonts w:ascii="Calibri" w:hAnsi="Calibri" w:cs="Calibri"/>
          <w:color w:val="auto"/>
          <w:sz w:val="22"/>
          <w:szCs w:val="22"/>
        </w:rPr>
      </w:pPr>
      <w:r>
        <w:rPr>
          <w:rFonts w:ascii="Calibri" w:hAnsi="Calibri" w:cs="Calibri"/>
          <w:color w:val="auto"/>
          <w:sz w:val="22"/>
          <w:szCs w:val="22"/>
        </w:rPr>
        <w:t xml:space="preserve">All schools with 17 or more primary aged pupils will receive a lump sum of £8,000 plus a premium of £5 per pupil. Smaller schools will receive £500 per pupil. </w:t>
      </w:r>
    </w:p>
    <w:tbl>
      <w:tblPr>
        <w:tblW w:w="12852" w:type="dxa"/>
        <w:tblBorders>
          <w:top w:val="nil"/>
          <w:left w:val="nil"/>
          <w:bottom w:val="nil"/>
          <w:right w:val="nil"/>
        </w:tblBorders>
        <w:tblLayout w:type="fixed"/>
        <w:tblLook w:val="0000" w:firstRow="0" w:lastRow="0" w:firstColumn="0" w:lastColumn="0" w:noHBand="0" w:noVBand="0"/>
      </w:tblPr>
      <w:tblGrid>
        <w:gridCol w:w="9180"/>
        <w:gridCol w:w="3672"/>
      </w:tblGrid>
      <w:tr w:rsidR="00DF74CF" w:rsidTr="000C6BDA">
        <w:trPr>
          <w:trHeight w:val="110"/>
        </w:trPr>
        <w:tc>
          <w:tcPr>
            <w:tcW w:w="9180" w:type="dxa"/>
          </w:tcPr>
          <w:p w:rsidR="00DF74CF" w:rsidRDefault="00DF74CF">
            <w:pPr>
              <w:pStyle w:val="Default"/>
              <w:rPr>
                <w:rFonts w:ascii="Calibri" w:hAnsi="Calibri" w:cs="Calibri"/>
                <w:sz w:val="22"/>
                <w:szCs w:val="22"/>
              </w:rPr>
            </w:pPr>
          </w:p>
        </w:tc>
        <w:tc>
          <w:tcPr>
            <w:tcW w:w="3672" w:type="dxa"/>
          </w:tcPr>
          <w:p w:rsidR="00DF74CF" w:rsidRDefault="00DF74CF">
            <w:pPr>
              <w:pStyle w:val="Default"/>
              <w:rPr>
                <w:rFonts w:ascii="Calibri" w:hAnsi="Calibri" w:cs="Calibri"/>
                <w:sz w:val="22"/>
                <w:szCs w:val="22"/>
              </w:rPr>
            </w:pPr>
          </w:p>
        </w:tc>
      </w:tr>
      <w:tr w:rsidR="00DF74CF" w:rsidTr="000C6BDA">
        <w:trPr>
          <w:trHeight w:val="110"/>
        </w:trPr>
        <w:tc>
          <w:tcPr>
            <w:tcW w:w="9180" w:type="dxa"/>
          </w:tcPr>
          <w:p w:rsidR="00DF74CF" w:rsidRDefault="00DF74CF">
            <w:pPr>
              <w:pStyle w:val="Default"/>
              <w:rPr>
                <w:rFonts w:ascii="Calibri" w:hAnsi="Calibri" w:cs="Calibri"/>
                <w:b/>
                <w:bCs/>
                <w:sz w:val="22"/>
                <w:szCs w:val="22"/>
              </w:rPr>
            </w:pPr>
          </w:p>
          <w:p w:rsidR="00DF74CF" w:rsidRDefault="00DF74CF">
            <w:pPr>
              <w:pStyle w:val="Default"/>
              <w:rPr>
                <w:rFonts w:ascii="Calibri" w:hAnsi="Calibri" w:cs="Calibri"/>
                <w:b/>
                <w:bCs/>
                <w:sz w:val="22"/>
                <w:szCs w:val="22"/>
              </w:rPr>
            </w:pPr>
            <w:r>
              <w:rPr>
                <w:rFonts w:ascii="Calibri" w:hAnsi="Calibri" w:cs="Calibri"/>
                <w:b/>
                <w:bCs/>
                <w:sz w:val="22"/>
                <w:szCs w:val="22"/>
              </w:rPr>
              <w:t>Total amount of Sport Premium Grant</w:t>
            </w:r>
            <w:r w:rsidR="00C528AB">
              <w:rPr>
                <w:rFonts w:ascii="Calibri" w:hAnsi="Calibri" w:cs="Calibri"/>
                <w:b/>
                <w:bCs/>
                <w:sz w:val="22"/>
                <w:szCs w:val="22"/>
              </w:rPr>
              <w:t xml:space="preserve"> for Huntingdon Academy</w:t>
            </w:r>
            <w:r>
              <w:rPr>
                <w:rFonts w:ascii="Calibri" w:hAnsi="Calibri" w:cs="Calibri"/>
                <w:b/>
                <w:bCs/>
                <w:sz w:val="22"/>
                <w:szCs w:val="22"/>
              </w:rPr>
              <w:t xml:space="preserve"> </w:t>
            </w:r>
            <w:r w:rsidR="00C10863">
              <w:rPr>
                <w:rFonts w:ascii="Calibri" w:hAnsi="Calibri" w:cs="Calibri"/>
                <w:b/>
                <w:bCs/>
                <w:sz w:val="22"/>
                <w:szCs w:val="22"/>
              </w:rPr>
              <w:t>=</w:t>
            </w:r>
            <w:r w:rsidR="0044512B">
              <w:rPr>
                <w:rFonts w:ascii="Calibri" w:hAnsi="Calibri" w:cs="Calibri"/>
                <w:b/>
                <w:bCs/>
                <w:sz w:val="22"/>
                <w:szCs w:val="22"/>
              </w:rPr>
              <w:t xml:space="preserve"> </w:t>
            </w:r>
            <w:r w:rsidR="00AE7A58">
              <w:rPr>
                <w:rFonts w:ascii="Calibri" w:hAnsi="Calibri" w:cs="Calibri"/>
                <w:b/>
                <w:bCs/>
                <w:sz w:val="22"/>
                <w:szCs w:val="22"/>
              </w:rPr>
              <w:t>£19,560</w:t>
            </w:r>
            <w:bookmarkStart w:id="0" w:name="_GoBack"/>
            <w:bookmarkEnd w:id="0"/>
          </w:p>
          <w:p w:rsidR="00DF74CF" w:rsidRDefault="00DF74CF">
            <w:pPr>
              <w:pStyle w:val="Default"/>
              <w:rPr>
                <w:rFonts w:ascii="Calibri" w:hAnsi="Calibri" w:cs="Calibri"/>
                <w:sz w:val="22"/>
                <w:szCs w:val="22"/>
              </w:rPr>
            </w:pPr>
          </w:p>
        </w:tc>
        <w:tc>
          <w:tcPr>
            <w:tcW w:w="3672" w:type="dxa"/>
          </w:tcPr>
          <w:p w:rsidR="00DF74CF" w:rsidRDefault="00DF74CF">
            <w:pPr>
              <w:pStyle w:val="Default"/>
              <w:rPr>
                <w:rFonts w:ascii="Calibri" w:hAnsi="Calibri" w:cs="Calibri"/>
                <w:sz w:val="22"/>
                <w:szCs w:val="22"/>
              </w:rPr>
            </w:pPr>
          </w:p>
          <w:p w:rsidR="00DF74CF" w:rsidRPr="00DF74CF" w:rsidRDefault="00DF74CF">
            <w:pPr>
              <w:pStyle w:val="Default"/>
              <w:rPr>
                <w:rFonts w:ascii="Calibri" w:hAnsi="Calibri" w:cs="Calibri"/>
                <w:b/>
                <w:sz w:val="22"/>
                <w:szCs w:val="22"/>
              </w:rPr>
            </w:pPr>
          </w:p>
        </w:tc>
      </w:tr>
    </w:tbl>
    <w:p w:rsidR="00DF74CF" w:rsidRPr="00DF74CF" w:rsidRDefault="00DF74CF" w:rsidP="00DF74CF">
      <w:pPr>
        <w:autoSpaceDE w:val="0"/>
        <w:autoSpaceDN w:val="0"/>
        <w:adjustRightInd w:val="0"/>
        <w:spacing w:after="0" w:line="240" w:lineRule="auto"/>
        <w:rPr>
          <w:rFonts w:ascii="Calibri" w:hAnsi="Calibri" w:cs="Calibri"/>
        </w:rPr>
      </w:pPr>
      <w:r w:rsidRPr="00DF74CF">
        <w:rPr>
          <w:rFonts w:ascii="Calibri" w:hAnsi="Calibri" w:cs="Calibri"/>
          <w:b/>
          <w:bCs/>
        </w:rPr>
        <w:t xml:space="preserve">Accountability </w:t>
      </w:r>
    </w:p>
    <w:p w:rsidR="00DF74CF" w:rsidRDefault="00DF74CF" w:rsidP="00DF74CF">
      <w:pPr>
        <w:autoSpaceDE w:val="0"/>
        <w:autoSpaceDN w:val="0"/>
        <w:adjustRightInd w:val="0"/>
        <w:spacing w:after="0" w:line="240" w:lineRule="auto"/>
        <w:rPr>
          <w:rFonts w:ascii="Calibri" w:hAnsi="Calibri" w:cs="Calibri"/>
        </w:rPr>
      </w:pPr>
      <w:r w:rsidRPr="00DF74CF">
        <w:rPr>
          <w:rFonts w:ascii="Calibri" w:hAnsi="Calibri" w:cs="Calibri"/>
        </w:rPr>
        <w:t>Schools will be held to accou</w:t>
      </w:r>
      <w:r w:rsidR="00D616B8">
        <w:rPr>
          <w:rFonts w:ascii="Calibri" w:hAnsi="Calibri" w:cs="Calibri"/>
        </w:rPr>
        <w:t xml:space="preserve">nt for how they spend the sports </w:t>
      </w:r>
      <w:r w:rsidRPr="00DF74CF">
        <w:rPr>
          <w:rFonts w:ascii="Calibri" w:hAnsi="Calibri" w:cs="Calibri"/>
        </w:rPr>
        <w:t xml:space="preserve">funding. Ofsted has strengthened its coverage of sport and PE within the Inspectors’ Handbook and supporting guidance, so that schools and inspectors know how sport and PE will be assessed in future as part of the school’s overall provision offered. </w:t>
      </w:r>
    </w:p>
    <w:p w:rsidR="00DF74CF" w:rsidRPr="00DF74CF" w:rsidRDefault="00DF74CF" w:rsidP="00DF74CF">
      <w:pPr>
        <w:autoSpaceDE w:val="0"/>
        <w:autoSpaceDN w:val="0"/>
        <w:adjustRightInd w:val="0"/>
        <w:spacing w:after="0" w:line="240" w:lineRule="auto"/>
        <w:rPr>
          <w:rFonts w:ascii="Calibri" w:hAnsi="Calibri" w:cs="Calibri"/>
        </w:rPr>
      </w:pPr>
    </w:p>
    <w:p w:rsidR="00DF74CF" w:rsidRPr="00DF74CF" w:rsidRDefault="00DF74CF" w:rsidP="00DF74CF">
      <w:pPr>
        <w:autoSpaceDE w:val="0"/>
        <w:autoSpaceDN w:val="0"/>
        <w:adjustRightInd w:val="0"/>
        <w:spacing w:after="0" w:line="240" w:lineRule="auto"/>
        <w:rPr>
          <w:rFonts w:ascii="Calibri" w:hAnsi="Calibri" w:cs="Calibri"/>
          <w:sz w:val="23"/>
          <w:szCs w:val="23"/>
        </w:rPr>
      </w:pPr>
      <w:r w:rsidRPr="00DF74CF">
        <w:rPr>
          <w:rFonts w:ascii="Calibri" w:hAnsi="Calibri" w:cs="Calibri"/>
          <w:b/>
          <w:bCs/>
          <w:sz w:val="23"/>
          <w:szCs w:val="23"/>
        </w:rPr>
        <w:t xml:space="preserve">Planning Process </w:t>
      </w:r>
    </w:p>
    <w:p w:rsidR="00DF74CF" w:rsidRPr="00DF74CF" w:rsidRDefault="00DF74CF" w:rsidP="00DF74CF">
      <w:pPr>
        <w:autoSpaceDE w:val="0"/>
        <w:autoSpaceDN w:val="0"/>
        <w:adjustRightInd w:val="0"/>
        <w:spacing w:after="0" w:line="240" w:lineRule="auto"/>
        <w:rPr>
          <w:rFonts w:ascii="Calibri" w:hAnsi="Calibri" w:cs="Calibri"/>
        </w:rPr>
      </w:pPr>
      <w:r w:rsidRPr="00DF74CF">
        <w:rPr>
          <w:rFonts w:ascii="Calibri" w:hAnsi="Calibri" w:cs="Calibri"/>
        </w:rPr>
        <w:t xml:space="preserve">The planning process taken to determine where the funding is best place has completed following the process detailed below: </w:t>
      </w:r>
    </w:p>
    <w:p w:rsidR="00DF74CF" w:rsidRPr="00DF74CF" w:rsidRDefault="00DF74CF" w:rsidP="00DF74CF">
      <w:pPr>
        <w:pStyle w:val="ListParagraph"/>
        <w:numPr>
          <w:ilvl w:val="0"/>
          <w:numId w:val="1"/>
        </w:numPr>
        <w:autoSpaceDE w:val="0"/>
        <w:autoSpaceDN w:val="0"/>
        <w:adjustRightInd w:val="0"/>
        <w:spacing w:after="58" w:line="240" w:lineRule="auto"/>
        <w:rPr>
          <w:rFonts w:ascii="Calibri" w:hAnsi="Calibri" w:cs="Calibri"/>
        </w:rPr>
      </w:pPr>
      <w:r w:rsidRPr="00DF74CF">
        <w:rPr>
          <w:rFonts w:ascii="Calibri" w:hAnsi="Calibri" w:cs="Calibri"/>
        </w:rPr>
        <w:t>a self-review of current strengths and weaknesses;</w:t>
      </w:r>
    </w:p>
    <w:p w:rsidR="00DF74CF" w:rsidRDefault="00DF74CF" w:rsidP="00DF74CF">
      <w:pPr>
        <w:pStyle w:val="ListParagraph"/>
        <w:numPr>
          <w:ilvl w:val="0"/>
          <w:numId w:val="1"/>
        </w:numPr>
        <w:autoSpaceDE w:val="0"/>
        <w:autoSpaceDN w:val="0"/>
        <w:adjustRightInd w:val="0"/>
        <w:spacing w:after="58" w:line="240" w:lineRule="auto"/>
        <w:rPr>
          <w:rFonts w:ascii="Calibri" w:hAnsi="Calibri" w:cs="Calibri"/>
        </w:rPr>
      </w:pPr>
      <w:r>
        <w:rPr>
          <w:rFonts w:ascii="Calibri" w:hAnsi="Calibri" w:cs="Calibri"/>
        </w:rPr>
        <w:t>impact of last year’s expenditure has been evaluated;</w:t>
      </w:r>
    </w:p>
    <w:p w:rsidR="00DF74CF" w:rsidRDefault="00DF74CF" w:rsidP="00DF74CF">
      <w:pPr>
        <w:pStyle w:val="ListParagraph"/>
        <w:numPr>
          <w:ilvl w:val="0"/>
          <w:numId w:val="1"/>
        </w:numPr>
        <w:autoSpaceDE w:val="0"/>
        <w:autoSpaceDN w:val="0"/>
        <w:adjustRightInd w:val="0"/>
        <w:spacing w:after="58" w:line="240" w:lineRule="auto"/>
        <w:rPr>
          <w:rFonts w:ascii="Calibri" w:hAnsi="Calibri" w:cs="Calibri"/>
        </w:rPr>
      </w:pPr>
      <w:r>
        <w:rPr>
          <w:rFonts w:ascii="Calibri" w:hAnsi="Calibri" w:cs="Calibri"/>
        </w:rPr>
        <w:t>a</w:t>
      </w:r>
      <w:r w:rsidRPr="00DF74CF">
        <w:rPr>
          <w:rFonts w:ascii="Calibri" w:hAnsi="Calibri" w:cs="Calibri"/>
        </w:rPr>
        <w:t xml:space="preserve"> school action plan fo</w:t>
      </w:r>
      <w:r>
        <w:rPr>
          <w:rFonts w:ascii="Calibri" w:hAnsi="Calibri" w:cs="Calibri"/>
        </w:rPr>
        <w:t>r the funding has been drawn up;</w:t>
      </w:r>
    </w:p>
    <w:p w:rsidR="00DF74CF" w:rsidRPr="00DF74CF" w:rsidRDefault="00DF74CF" w:rsidP="00DF74CF">
      <w:pPr>
        <w:pStyle w:val="ListParagraph"/>
        <w:numPr>
          <w:ilvl w:val="0"/>
          <w:numId w:val="1"/>
        </w:numPr>
        <w:autoSpaceDE w:val="0"/>
        <w:autoSpaceDN w:val="0"/>
        <w:adjustRightInd w:val="0"/>
        <w:spacing w:after="0" w:line="240" w:lineRule="auto"/>
        <w:rPr>
          <w:rFonts w:ascii="Calibri" w:hAnsi="Calibri" w:cs="Calibri"/>
        </w:rPr>
      </w:pPr>
      <w:r w:rsidRPr="00DF74CF">
        <w:rPr>
          <w:rFonts w:ascii="Calibri" w:hAnsi="Calibri" w:cs="Calibri"/>
        </w:rPr>
        <w:t xml:space="preserve">this action plan has been incorporated in our </w:t>
      </w:r>
      <w:r>
        <w:rPr>
          <w:rFonts w:ascii="Calibri" w:hAnsi="Calibri" w:cs="Calibri"/>
        </w:rPr>
        <w:t>School Improvement Plan</w:t>
      </w:r>
      <w:r w:rsidRPr="00DF74CF">
        <w:rPr>
          <w:rFonts w:ascii="Calibri" w:hAnsi="Calibri" w:cs="Calibri"/>
        </w:rPr>
        <w:t xml:space="preserve">. </w:t>
      </w:r>
    </w:p>
    <w:p w:rsidR="00C10863" w:rsidRDefault="00C10863" w:rsidP="00DF74CF">
      <w:pPr>
        <w:pStyle w:val="ListParagraph"/>
        <w:autoSpaceDE w:val="0"/>
        <w:autoSpaceDN w:val="0"/>
        <w:adjustRightInd w:val="0"/>
        <w:spacing w:after="58" w:line="240" w:lineRule="auto"/>
        <w:rPr>
          <w:rFonts w:ascii="Calibri" w:hAnsi="Calibri" w:cs="Calibri"/>
        </w:rPr>
      </w:pPr>
    </w:p>
    <w:tbl>
      <w:tblPr>
        <w:tblStyle w:val="TableGrid"/>
        <w:tblW w:w="0" w:type="auto"/>
        <w:tblLook w:val="04A0" w:firstRow="1" w:lastRow="0" w:firstColumn="1" w:lastColumn="0" w:noHBand="0" w:noVBand="1"/>
      </w:tblPr>
      <w:tblGrid>
        <w:gridCol w:w="5890"/>
        <w:gridCol w:w="3126"/>
      </w:tblGrid>
      <w:tr w:rsidR="000C6BDA" w:rsidTr="00A73C57">
        <w:tc>
          <w:tcPr>
            <w:tcW w:w="9016" w:type="dxa"/>
            <w:gridSpan w:val="2"/>
            <w:shd w:val="clear" w:color="auto" w:fill="4F81BD" w:themeFill="accent1"/>
          </w:tcPr>
          <w:p w:rsidR="000C6BDA" w:rsidRPr="000C6BDA" w:rsidRDefault="00C528AB" w:rsidP="000C6BDA">
            <w:pPr>
              <w:rPr>
                <w:color w:val="0070C0"/>
              </w:rPr>
            </w:pPr>
            <w:r>
              <w:rPr>
                <w:b/>
              </w:rPr>
              <w:t>S</w:t>
            </w:r>
            <w:r w:rsidR="000C6BDA" w:rsidRPr="000C6BDA">
              <w:rPr>
                <w:b/>
              </w:rPr>
              <w:t>ummary of Sports Prem</w:t>
            </w:r>
            <w:r w:rsidR="006D32B0">
              <w:rPr>
                <w:b/>
              </w:rPr>
              <w:t>ium</w:t>
            </w:r>
            <w:r w:rsidR="00574503">
              <w:rPr>
                <w:b/>
              </w:rPr>
              <w:t xml:space="preserve"> Funding Expenditure for 2022/23</w:t>
            </w:r>
          </w:p>
        </w:tc>
      </w:tr>
      <w:tr w:rsidR="000C6BDA" w:rsidTr="00A73C57">
        <w:tc>
          <w:tcPr>
            <w:tcW w:w="5890" w:type="dxa"/>
          </w:tcPr>
          <w:p w:rsidR="000C6BDA" w:rsidRDefault="000C6BDA">
            <w:r>
              <w:t xml:space="preserve">Resources </w:t>
            </w:r>
          </w:p>
        </w:tc>
        <w:tc>
          <w:tcPr>
            <w:tcW w:w="3126" w:type="dxa"/>
          </w:tcPr>
          <w:p w:rsidR="000C6BDA" w:rsidRDefault="000C6BDA">
            <w:r>
              <w:t>£</w:t>
            </w:r>
            <w:r w:rsidR="009D0504">
              <w:t>1560</w:t>
            </w:r>
          </w:p>
        </w:tc>
      </w:tr>
      <w:tr w:rsidR="000C6BDA" w:rsidTr="00A73C57">
        <w:tc>
          <w:tcPr>
            <w:tcW w:w="5890" w:type="dxa"/>
          </w:tcPr>
          <w:p w:rsidR="000C6BDA" w:rsidRDefault="006D32B0" w:rsidP="008E77E8">
            <w:proofErr w:type="spellStart"/>
            <w:r>
              <w:t>Extra curricular</w:t>
            </w:r>
            <w:proofErr w:type="spellEnd"/>
            <w:r>
              <w:t xml:space="preserve"> c</w:t>
            </w:r>
            <w:r w:rsidR="008E77E8">
              <w:t>lubs</w:t>
            </w:r>
            <w:r w:rsidR="00574503">
              <w:t xml:space="preserve"> </w:t>
            </w:r>
          </w:p>
        </w:tc>
        <w:tc>
          <w:tcPr>
            <w:tcW w:w="3126" w:type="dxa"/>
          </w:tcPr>
          <w:p w:rsidR="000C6BDA" w:rsidRDefault="006D32B0">
            <w:r>
              <w:t>£1000</w:t>
            </w:r>
          </w:p>
        </w:tc>
      </w:tr>
      <w:tr w:rsidR="006D32B0" w:rsidTr="00A73C57">
        <w:tc>
          <w:tcPr>
            <w:tcW w:w="5890" w:type="dxa"/>
          </w:tcPr>
          <w:p w:rsidR="006D32B0" w:rsidRDefault="006D32B0" w:rsidP="006D32B0">
            <w:r>
              <w:t xml:space="preserve">Experience days </w:t>
            </w:r>
            <w:r w:rsidR="008E77E8">
              <w:t>&amp; outdoor education</w:t>
            </w:r>
          </w:p>
        </w:tc>
        <w:tc>
          <w:tcPr>
            <w:tcW w:w="3126" w:type="dxa"/>
          </w:tcPr>
          <w:p w:rsidR="006D32B0" w:rsidRDefault="009D0504">
            <w:r>
              <w:t>£1000</w:t>
            </w:r>
          </w:p>
        </w:tc>
      </w:tr>
      <w:tr w:rsidR="000C6BDA" w:rsidTr="00A73C57">
        <w:tc>
          <w:tcPr>
            <w:tcW w:w="5890" w:type="dxa"/>
          </w:tcPr>
          <w:p w:rsidR="000C6BDA" w:rsidRDefault="000C6BDA">
            <w:r>
              <w:t xml:space="preserve">Swimming </w:t>
            </w:r>
          </w:p>
        </w:tc>
        <w:tc>
          <w:tcPr>
            <w:tcW w:w="3126" w:type="dxa"/>
          </w:tcPr>
          <w:p w:rsidR="000C6BDA" w:rsidRDefault="00A73C57">
            <w:r>
              <w:t>£2000</w:t>
            </w:r>
          </w:p>
        </w:tc>
      </w:tr>
      <w:tr w:rsidR="009F487A" w:rsidTr="00A73C57">
        <w:tc>
          <w:tcPr>
            <w:tcW w:w="5890" w:type="dxa"/>
          </w:tcPr>
          <w:p w:rsidR="009F487A" w:rsidRDefault="009F487A" w:rsidP="009F487A">
            <w:r>
              <w:t>Participation in LEAD sporting events</w:t>
            </w:r>
            <w:r w:rsidR="006D32B0">
              <w:t xml:space="preserve"> &amp; transport to sporting events/competitions</w:t>
            </w:r>
          </w:p>
        </w:tc>
        <w:tc>
          <w:tcPr>
            <w:tcW w:w="3126" w:type="dxa"/>
          </w:tcPr>
          <w:p w:rsidR="009F487A" w:rsidRDefault="00A73C57">
            <w:r>
              <w:t>£2000</w:t>
            </w:r>
          </w:p>
        </w:tc>
      </w:tr>
      <w:tr w:rsidR="009F487A" w:rsidTr="00A73C57">
        <w:tc>
          <w:tcPr>
            <w:tcW w:w="5890" w:type="dxa"/>
          </w:tcPr>
          <w:p w:rsidR="009F487A" w:rsidRDefault="00A73C57" w:rsidP="009F487A">
            <w:r>
              <w:t xml:space="preserve">Sports leaders to assist with teaching of PE </w:t>
            </w:r>
          </w:p>
        </w:tc>
        <w:tc>
          <w:tcPr>
            <w:tcW w:w="3126" w:type="dxa"/>
          </w:tcPr>
          <w:p w:rsidR="009F487A" w:rsidRDefault="009D0504">
            <w:r>
              <w:t>£12,000</w:t>
            </w:r>
          </w:p>
        </w:tc>
      </w:tr>
      <w:tr w:rsidR="000C6BDA" w:rsidTr="00A73C57">
        <w:tc>
          <w:tcPr>
            <w:tcW w:w="5890" w:type="dxa"/>
          </w:tcPr>
          <w:p w:rsidR="000C6BDA" w:rsidRDefault="000C6BDA">
            <w:r>
              <w:t>Total:</w:t>
            </w:r>
          </w:p>
          <w:p w:rsidR="000C6BDA" w:rsidRDefault="000C6BDA">
            <w:r>
              <w:t>Additional school funding:</w:t>
            </w:r>
          </w:p>
        </w:tc>
        <w:tc>
          <w:tcPr>
            <w:tcW w:w="3126" w:type="dxa"/>
          </w:tcPr>
          <w:p w:rsidR="000F1E52" w:rsidRDefault="009D0504" w:rsidP="000F1E52">
            <w:r>
              <w:t>£19560</w:t>
            </w:r>
          </w:p>
          <w:p w:rsidR="00762869" w:rsidRDefault="00762869"/>
        </w:tc>
      </w:tr>
      <w:tr w:rsidR="00734E03" w:rsidTr="00A73C57">
        <w:tc>
          <w:tcPr>
            <w:tcW w:w="9016" w:type="dxa"/>
            <w:gridSpan w:val="2"/>
          </w:tcPr>
          <w:p w:rsidR="0029647E" w:rsidRDefault="0029647E" w:rsidP="004553BB"/>
        </w:tc>
      </w:tr>
    </w:tbl>
    <w:p w:rsidR="000C6BDA" w:rsidRDefault="000C6BDA" w:rsidP="00762869"/>
    <w:sectPr w:rsidR="000C6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balin Graph Book">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84ECA"/>
    <w:multiLevelType w:val="multilevel"/>
    <w:tmpl w:val="BE18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3242F"/>
    <w:multiLevelType w:val="hybridMultilevel"/>
    <w:tmpl w:val="D5B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4A1120"/>
    <w:multiLevelType w:val="multilevel"/>
    <w:tmpl w:val="3FC0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F82887"/>
    <w:multiLevelType w:val="hybridMultilevel"/>
    <w:tmpl w:val="E67E2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60DD2"/>
    <w:multiLevelType w:val="hybridMultilevel"/>
    <w:tmpl w:val="956E4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CF"/>
    <w:rsid w:val="000817DB"/>
    <w:rsid w:val="000B4A65"/>
    <w:rsid w:val="000C6BDA"/>
    <w:rsid w:val="000F1E52"/>
    <w:rsid w:val="0029647E"/>
    <w:rsid w:val="00301CE6"/>
    <w:rsid w:val="003314F2"/>
    <w:rsid w:val="00346BD9"/>
    <w:rsid w:val="0044512B"/>
    <w:rsid w:val="004553BB"/>
    <w:rsid w:val="00466D4B"/>
    <w:rsid w:val="00491F6D"/>
    <w:rsid w:val="00574503"/>
    <w:rsid w:val="005A0FFC"/>
    <w:rsid w:val="006C6328"/>
    <w:rsid w:val="006D32B0"/>
    <w:rsid w:val="00734E03"/>
    <w:rsid w:val="00762869"/>
    <w:rsid w:val="00795DDF"/>
    <w:rsid w:val="00854DC2"/>
    <w:rsid w:val="008E77E8"/>
    <w:rsid w:val="00963FA8"/>
    <w:rsid w:val="009D0504"/>
    <w:rsid w:val="009F487A"/>
    <w:rsid w:val="00A1708A"/>
    <w:rsid w:val="00A73C57"/>
    <w:rsid w:val="00AE7A58"/>
    <w:rsid w:val="00AF1654"/>
    <w:rsid w:val="00B43AF4"/>
    <w:rsid w:val="00B77787"/>
    <w:rsid w:val="00BA6753"/>
    <w:rsid w:val="00BF5D0F"/>
    <w:rsid w:val="00C10863"/>
    <w:rsid w:val="00C528AB"/>
    <w:rsid w:val="00CF1A33"/>
    <w:rsid w:val="00D20BF2"/>
    <w:rsid w:val="00D31FE2"/>
    <w:rsid w:val="00D616B8"/>
    <w:rsid w:val="00DF74CF"/>
    <w:rsid w:val="00E21024"/>
    <w:rsid w:val="00E4301D"/>
    <w:rsid w:val="00E73C21"/>
    <w:rsid w:val="00F02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29E71"/>
  <w15:docId w15:val="{2FC9A4BD-11AC-402A-92B3-82AE9FC9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74CF"/>
    <w:pPr>
      <w:autoSpaceDE w:val="0"/>
      <w:autoSpaceDN w:val="0"/>
      <w:adjustRightInd w:val="0"/>
      <w:spacing w:after="0" w:line="240" w:lineRule="auto"/>
    </w:pPr>
    <w:rPr>
      <w:rFonts w:ascii="Lubalin Graph Book" w:hAnsi="Lubalin Graph Book" w:cs="Lubalin Graph Book"/>
      <w:color w:val="000000"/>
      <w:sz w:val="24"/>
      <w:szCs w:val="24"/>
    </w:rPr>
  </w:style>
  <w:style w:type="paragraph" w:styleId="ListParagraph">
    <w:name w:val="List Paragraph"/>
    <w:basedOn w:val="Normal"/>
    <w:uiPriority w:val="34"/>
    <w:qFormat/>
    <w:rsid w:val="00DF74CF"/>
    <w:pPr>
      <w:ind w:left="720"/>
      <w:contextualSpacing/>
    </w:pPr>
  </w:style>
  <w:style w:type="table" w:styleId="TableGrid">
    <w:name w:val="Table Grid"/>
    <w:basedOn w:val="TableNormal"/>
    <w:uiPriority w:val="59"/>
    <w:rsid w:val="000C6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9665">
      <w:bodyDiv w:val="1"/>
      <w:marLeft w:val="0"/>
      <w:marRight w:val="0"/>
      <w:marTop w:val="0"/>
      <w:marBottom w:val="0"/>
      <w:divBdr>
        <w:top w:val="none" w:sz="0" w:space="0" w:color="auto"/>
        <w:left w:val="none" w:sz="0" w:space="0" w:color="auto"/>
        <w:bottom w:val="none" w:sz="0" w:space="0" w:color="auto"/>
        <w:right w:val="none" w:sz="0" w:space="0" w:color="auto"/>
      </w:divBdr>
    </w:div>
    <w:div w:id="755439583">
      <w:bodyDiv w:val="1"/>
      <w:marLeft w:val="0"/>
      <w:marRight w:val="0"/>
      <w:marTop w:val="0"/>
      <w:marBottom w:val="0"/>
      <w:divBdr>
        <w:top w:val="none" w:sz="0" w:space="0" w:color="auto"/>
        <w:left w:val="none" w:sz="0" w:space="0" w:color="auto"/>
        <w:bottom w:val="none" w:sz="0" w:space="0" w:color="auto"/>
        <w:right w:val="none" w:sz="0" w:space="0" w:color="auto"/>
      </w:divBdr>
    </w:div>
    <w:div w:id="1730959413">
      <w:bodyDiv w:val="1"/>
      <w:marLeft w:val="0"/>
      <w:marRight w:val="0"/>
      <w:marTop w:val="0"/>
      <w:marBottom w:val="0"/>
      <w:divBdr>
        <w:top w:val="none" w:sz="0" w:space="0" w:color="auto"/>
        <w:left w:val="none" w:sz="0" w:space="0" w:color="auto"/>
        <w:bottom w:val="none" w:sz="0" w:space="0" w:color="auto"/>
        <w:right w:val="none" w:sz="0" w:space="0" w:color="auto"/>
      </w:divBdr>
    </w:div>
    <w:div w:id="1803840739">
      <w:bodyDiv w:val="1"/>
      <w:marLeft w:val="0"/>
      <w:marRight w:val="0"/>
      <w:marTop w:val="0"/>
      <w:marBottom w:val="0"/>
      <w:divBdr>
        <w:top w:val="none" w:sz="0" w:space="0" w:color="auto"/>
        <w:left w:val="none" w:sz="0" w:space="0" w:color="auto"/>
        <w:bottom w:val="none" w:sz="0" w:space="0" w:color="auto"/>
        <w:right w:val="none" w:sz="0" w:space="0" w:color="auto"/>
      </w:divBdr>
    </w:div>
    <w:div w:id="21154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Shrestha</dc:creator>
  <cp:lastModifiedBy>Polly Lees-Collier</cp:lastModifiedBy>
  <cp:revision>6</cp:revision>
  <cp:lastPrinted>2016-11-02T09:48:00Z</cp:lastPrinted>
  <dcterms:created xsi:type="dcterms:W3CDTF">2022-06-24T11:15:00Z</dcterms:created>
  <dcterms:modified xsi:type="dcterms:W3CDTF">2023-10-13T10:55:00Z</dcterms:modified>
</cp:coreProperties>
</file>